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D2" w:rsidRPr="00E00BD2" w:rsidRDefault="00E00BD2" w:rsidP="00E00BD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b/>
          <w:bCs/>
          <w:color w:val="00A650"/>
          <w:sz w:val="27"/>
          <w:szCs w:val="27"/>
          <w:bdr w:val="none" w:sz="0" w:space="0" w:color="auto" w:frame="1"/>
          <w:lang w:eastAsia="ru-RU"/>
        </w:rPr>
        <w:t>СПОСОБЫ ВВЕДЕНИЯ СТЕКЛОШАРИКОВ В КРАСКУ </w:t>
      </w:r>
    </w:p>
    <w:p w:rsidR="00E00BD2" w:rsidRPr="00E00BD2" w:rsidRDefault="00E00BD2" w:rsidP="00E00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E00BD2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введение внутрь лакокрасочного материала в количестве не более 30%;</w:t>
      </w:r>
    </w:p>
    <w:p w:rsidR="00E00BD2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посыпание поверх свеженанесенной дорожной разметки в количестве 200 – 300 г/м 2</w:t>
      </w:r>
      <w:proofErr w:type="gram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E00BD2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комбинирование вышеперечисленных способов.</w:t>
      </w:r>
    </w:p>
    <w:p w:rsidR="00E00BD2" w:rsidRPr="00E00BD2" w:rsidRDefault="00E00BD2" w:rsidP="00E00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57400"/>
            <wp:effectExtent l="0" t="0" r="0" b="0"/>
            <wp:wrapSquare wrapText="bothSides"/>
            <wp:docPr id="1" name="Рисунок 1" descr="Стекло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клошар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Нанесение </w:t>
      </w:r>
      <w:proofErr w:type="spellStart"/>
      <w:r w:rsidRPr="00E00BD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стеклошариков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поверхность дорожной разметки производят в автоматизированном режиме специальным пневматическим распределителем, входящим в комплект разметочных машин. Перед началом работ микросферы загружают в специальную емкость разметочной машины, откуда под давлением через специальную форсунку они подаются на поверхность свеженанесенной, несформировавшейся разметки. При нанесении разметочного материала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стеклошарики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давлением воздуха через отдельную форсунку подаются на поверхность не сформировавшейся линии разметки. При ручном нанесении дорожной разметки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стеклошарики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наносят вручную. При нанесении краски валиком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микрошарики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применяются.</w:t>
      </w:r>
    </w:p>
    <w:p w:rsidR="00E00BD2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достижения максимального эффекта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световозвращения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необходимо, чтобы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стеклошарики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были погружены в лакокрасочный материал наполовину. В этом случае достигается и хорошее удерживание микросфер материалом разметки, и достигается оптимальное преломление и отражение света. Если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стеклошарики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выступают из материала более чем на 50%, они легко "выбиваются" колесами автотранспорта. При погружении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стеклошариков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материал разметки более чем наполовину, отражаемый </w:t>
      </w:r>
      <w:proofErr w:type="spellStart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светопоток</w:t>
      </w:r>
      <w:proofErr w:type="spellEnd"/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резко снижается.</w:t>
      </w:r>
    </w:p>
    <w:p w:rsidR="00E00BD2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 после окончания работ необходимо замыть оборудование и окрасочный инструмент. Замывка проводится, как правило, растворителем, используемым для разбавления эмали. После замывки оборудования и инструментов промывочный растворитель можно использовать по прямому назначению. Тем самым, с одной стороны, снижаются потери растворителя, а с другой – решается вопрос его утилизации.</w:t>
      </w:r>
    </w:p>
    <w:p w:rsidR="000E6FAF" w:rsidRPr="00E00BD2" w:rsidRDefault="00E00BD2" w:rsidP="00E00BD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BD2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заключение остается только добавить, что все работы по разметке дорожных покрытий должны выполняться квалифицированным персоналом.</w:t>
      </w:r>
    </w:p>
    <w:sectPr w:rsidR="000E6FAF" w:rsidRPr="00E0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D2"/>
    <w:rsid w:val="000E6FAF"/>
    <w:rsid w:val="00E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D2"/>
    <w:rPr>
      <w:b/>
      <w:bCs/>
    </w:rPr>
  </w:style>
  <w:style w:type="character" w:styleId="a5">
    <w:name w:val="Hyperlink"/>
    <w:basedOn w:val="a0"/>
    <w:uiPriority w:val="99"/>
    <w:semiHidden/>
    <w:unhideWhenUsed/>
    <w:rsid w:val="00E00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D2"/>
    <w:rPr>
      <w:b/>
      <w:bCs/>
    </w:rPr>
  </w:style>
  <w:style w:type="character" w:styleId="a5">
    <w:name w:val="Hyperlink"/>
    <w:basedOn w:val="a0"/>
    <w:uiPriority w:val="99"/>
    <w:semiHidden/>
    <w:unhideWhenUsed/>
    <w:rsid w:val="00E00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2018-09-13T13:55:00Z</dcterms:created>
  <dcterms:modified xsi:type="dcterms:W3CDTF">2018-09-13T13:59:00Z</dcterms:modified>
</cp:coreProperties>
</file>