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4134"/>
      </w:tblGrid>
      <w:tr w:rsidR="00F117FD" w:rsidRPr="00133211" w:rsidTr="001B5BA4">
        <w:trPr>
          <w:trHeight w:val="2256"/>
        </w:trPr>
        <w:tc>
          <w:tcPr>
            <w:tcW w:w="5046" w:type="dxa"/>
          </w:tcPr>
          <w:p w:rsidR="00F117FD" w:rsidRPr="00133211" w:rsidRDefault="00F117FD" w:rsidP="001B5BA4">
            <w:pPr>
              <w:keepNext/>
              <w:jc w:val="both"/>
              <w:outlineLvl w:val="0"/>
              <w:rPr>
                <w:b/>
                <w:bCs/>
                <w:noProof/>
                <w:sz w:val="44"/>
              </w:rPr>
            </w:pPr>
            <w:r>
              <w:rPr>
                <w:b/>
                <w:bCs/>
                <w:noProof/>
                <w:sz w:val="44"/>
                <w:lang w:eastAsia="ru-RU"/>
              </w:rPr>
              <w:drawing>
                <wp:inline distT="0" distB="0" distL="0" distR="0">
                  <wp:extent cx="1565275" cy="85598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7FD" w:rsidRPr="00133211" w:rsidRDefault="00F117FD" w:rsidP="001B5BA4">
            <w:pPr>
              <w:keepNext/>
              <w:outlineLvl w:val="0"/>
              <w:rPr>
                <w:b/>
                <w:bCs/>
                <w:sz w:val="20"/>
                <w:szCs w:val="20"/>
              </w:rPr>
            </w:pPr>
            <w:r w:rsidRPr="00133211">
              <w:rPr>
                <w:b/>
                <w:bCs/>
                <w:sz w:val="20"/>
                <w:szCs w:val="20"/>
              </w:rPr>
              <w:t xml:space="preserve">        отдел технического  контроля</w:t>
            </w:r>
          </w:p>
          <w:p w:rsidR="00F117FD" w:rsidRPr="00133211" w:rsidRDefault="00F117FD" w:rsidP="001B5BA4">
            <w:pPr>
              <w:tabs>
                <w:tab w:val="center" w:pos="4677"/>
                <w:tab w:val="right" w:pos="9355"/>
              </w:tabs>
              <w:rPr>
                <w:b/>
                <w:iCs/>
                <w:sz w:val="20"/>
                <w:szCs w:val="20"/>
                <w:lang w:val="en-US"/>
              </w:rPr>
            </w:pPr>
            <w:r w:rsidRPr="00133211">
              <w:rPr>
                <w:b/>
                <w:sz w:val="20"/>
                <w:szCs w:val="20"/>
              </w:rPr>
              <w:t xml:space="preserve">ООО НПП «Химпром» 150062, г. Ярославль пр-т Авиаторов 155В. </w:t>
            </w:r>
            <w:r w:rsidRPr="00133211">
              <w:rPr>
                <w:b/>
                <w:sz w:val="20"/>
                <w:szCs w:val="20"/>
                <w:lang w:val="en-US"/>
              </w:rPr>
              <w:t>(4852)241551. www.hpyar.ru</w:t>
            </w:r>
            <w:r w:rsidRPr="00133211">
              <w:rPr>
                <w:b/>
                <w:iCs/>
                <w:sz w:val="20"/>
                <w:szCs w:val="20"/>
                <w:lang w:val="en-US"/>
              </w:rPr>
              <w:t xml:space="preserve"> </w:t>
            </w:r>
          </w:p>
          <w:p w:rsidR="00F117FD" w:rsidRPr="00133211" w:rsidRDefault="00F117FD" w:rsidP="001B5BA4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133211">
              <w:rPr>
                <w:b/>
                <w:iCs/>
                <w:sz w:val="20"/>
                <w:szCs w:val="20"/>
                <w:lang w:val="en-US"/>
              </w:rPr>
              <w:t>e-mail: phkhimprom@mail.ru</w:t>
            </w:r>
          </w:p>
        </w:tc>
        <w:tc>
          <w:tcPr>
            <w:tcW w:w="4134" w:type="dxa"/>
          </w:tcPr>
          <w:p w:rsidR="00F117FD" w:rsidRPr="00133211" w:rsidRDefault="00F117FD" w:rsidP="001B5BA4">
            <w:pPr>
              <w:jc w:val="center"/>
              <w:rPr>
                <w:sz w:val="0"/>
                <w:szCs w:val="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1885" cy="1111885"/>
                  <wp:effectExtent l="0" t="0" r="0" b="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7FD" w:rsidRPr="00133211" w:rsidRDefault="00F117FD" w:rsidP="001B5BA4">
            <w:pPr>
              <w:keepNext/>
              <w:jc w:val="both"/>
              <w:outlineLvl w:val="0"/>
              <w:rPr>
                <w:b/>
                <w:bCs/>
                <w:noProof/>
                <w:sz w:val="44"/>
              </w:rPr>
            </w:pPr>
            <w:r w:rsidRPr="00133211">
              <w:rPr>
                <w:b/>
                <w:bCs/>
                <w:noProof/>
                <w:sz w:val="44"/>
              </w:rPr>
              <w:t xml:space="preserve">     </w:t>
            </w:r>
            <w:r w:rsidRPr="00133211">
              <w:rPr>
                <w:b/>
                <w:bCs/>
                <w:noProof/>
                <w:sz w:val="20"/>
                <w:szCs w:val="20"/>
              </w:rPr>
              <w:t>Система менеджмента качества</w:t>
            </w:r>
          </w:p>
          <w:p w:rsidR="00F117FD" w:rsidRPr="00133211" w:rsidRDefault="00F117FD" w:rsidP="001B5BA4">
            <w:pPr>
              <w:keepNext/>
              <w:jc w:val="both"/>
              <w:outlineLvl w:val="0"/>
              <w:rPr>
                <w:b/>
                <w:bCs/>
                <w:noProof/>
                <w:sz w:val="28"/>
                <w:szCs w:val="28"/>
              </w:rPr>
            </w:pPr>
            <w:r w:rsidRPr="00133211">
              <w:rPr>
                <w:b/>
                <w:bCs/>
                <w:noProof/>
                <w:sz w:val="20"/>
                <w:szCs w:val="20"/>
              </w:rPr>
              <w:t xml:space="preserve">          </w:t>
            </w:r>
            <w:r w:rsidRPr="00133211">
              <w:rPr>
                <w:b/>
                <w:bCs/>
                <w:noProof/>
                <w:sz w:val="20"/>
                <w:szCs w:val="20"/>
                <w:lang w:val="en-US"/>
              </w:rPr>
              <w:t>ISO</w:t>
            </w:r>
            <w:r w:rsidRPr="00133211">
              <w:rPr>
                <w:b/>
                <w:bCs/>
                <w:noProof/>
                <w:sz w:val="20"/>
                <w:szCs w:val="20"/>
              </w:rPr>
              <w:t xml:space="preserve"> 9001-2011 (</w:t>
            </w:r>
            <w:r w:rsidRPr="00133211">
              <w:rPr>
                <w:b/>
                <w:bCs/>
                <w:noProof/>
                <w:sz w:val="20"/>
                <w:szCs w:val="20"/>
                <w:lang w:val="en-US"/>
              </w:rPr>
              <w:t>ISO</w:t>
            </w:r>
            <w:r w:rsidRPr="00133211">
              <w:rPr>
                <w:b/>
                <w:bCs/>
                <w:noProof/>
                <w:sz w:val="20"/>
                <w:szCs w:val="20"/>
              </w:rPr>
              <w:t xml:space="preserve"> 9001:2008)</w:t>
            </w:r>
          </w:p>
        </w:tc>
      </w:tr>
    </w:tbl>
    <w:p w:rsidR="00F117FD" w:rsidRDefault="00F117FD" w:rsidP="00B40419">
      <w:pPr>
        <w:keepNext/>
        <w:spacing w:after="0" w:line="240" w:lineRule="auto"/>
        <w:ind w:left="720"/>
        <w:outlineLvl w:val="0"/>
        <w:rPr>
          <w:rFonts w:ascii="Arial" w:eastAsia="Times New Roman" w:hAnsi="Arial" w:cs="Arial"/>
          <w:b/>
          <w:bCs/>
          <w:color w:val="C0C0C0"/>
          <w:sz w:val="56"/>
          <w:szCs w:val="5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117FD" w:rsidRDefault="00F117FD" w:rsidP="00B40419">
      <w:pPr>
        <w:keepNext/>
        <w:spacing w:after="0" w:line="240" w:lineRule="auto"/>
        <w:ind w:left="720"/>
        <w:outlineLvl w:val="0"/>
        <w:rPr>
          <w:rFonts w:ascii="Arial" w:eastAsia="Times New Roman" w:hAnsi="Arial" w:cs="Arial"/>
          <w:b/>
          <w:bCs/>
          <w:color w:val="C0C0C0"/>
          <w:sz w:val="56"/>
          <w:szCs w:val="5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117FD" w:rsidRDefault="00F117FD" w:rsidP="00B40419">
      <w:pPr>
        <w:keepNext/>
        <w:spacing w:after="0" w:line="240" w:lineRule="auto"/>
        <w:ind w:left="720"/>
        <w:outlineLvl w:val="0"/>
        <w:rPr>
          <w:rFonts w:ascii="Arial" w:eastAsia="Times New Roman" w:hAnsi="Arial" w:cs="Arial"/>
          <w:b/>
          <w:bCs/>
          <w:color w:val="C0C0C0"/>
          <w:sz w:val="56"/>
          <w:szCs w:val="5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117FD" w:rsidRDefault="00F117FD" w:rsidP="00B40419">
      <w:pPr>
        <w:keepNext/>
        <w:spacing w:after="0" w:line="240" w:lineRule="auto"/>
        <w:ind w:left="720"/>
        <w:outlineLvl w:val="0"/>
        <w:rPr>
          <w:rFonts w:ascii="Arial" w:eastAsia="Times New Roman" w:hAnsi="Arial" w:cs="Arial"/>
          <w:b/>
          <w:bCs/>
          <w:color w:val="C0C0C0"/>
          <w:sz w:val="56"/>
          <w:szCs w:val="5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F117FD" w:rsidRDefault="00F117FD" w:rsidP="00B40419">
      <w:pPr>
        <w:keepNext/>
        <w:spacing w:after="0" w:line="240" w:lineRule="auto"/>
        <w:ind w:left="720"/>
        <w:outlineLvl w:val="0"/>
        <w:rPr>
          <w:rFonts w:ascii="Arial" w:eastAsia="Times New Roman" w:hAnsi="Arial" w:cs="Arial"/>
          <w:b/>
          <w:bCs/>
          <w:color w:val="C0C0C0"/>
          <w:sz w:val="56"/>
          <w:szCs w:val="5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B40419" w:rsidRPr="00F117FD" w:rsidRDefault="00B40419" w:rsidP="00B40419">
      <w:pPr>
        <w:keepNext/>
        <w:spacing w:after="0" w:line="240" w:lineRule="auto"/>
        <w:ind w:left="720"/>
        <w:outlineLvl w:val="0"/>
        <w:rPr>
          <w:rFonts w:ascii="Arial" w:eastAsia="Times New Roman" w:hAnsi="Arial" w:cs="Arial"/>
          <w:b/>
          <w:bCs/>
          <w:color w:val="7030A0"/>
          <w:sz w:val="56"/>
          <w:szCs w:val="5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117FD">
        <w:rPr>
          <w:rFonts w:ascii="Arial" w:eastAsia="Times New Roman" w:hAnsi="Arial" w:cs="Arial"/>
          <w:b/>
          <w:bCs/>
          <w:color w:val="7030A0"/>
          <w:sz w:val="56"/>
          <w:szCs w:val="56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Технологическая карта</w:t>
      </w:r>
    </w:p>
    <w:p w:rsidR="00B40419" w:rsidRPr="00B40419" w:rsidRDefault="00B40419" w:rsidP="00B40419">
      <w:pPr>
        <w:spacing w:after="0"/>
        <w:ind w:left="720" w:right="539"/>
        <w:jc w:val="right"/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4041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Грунтовка </w:t>
      </w:r>
      <w:r w:rsidRPr="00B40419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АС-071</w:t>
      </w:r>
      <w:r w:rsidRPr="00B4041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Эмаль</w:t>
      </w:r>
      <w:r w:rsidRPr="00B40419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АС-554 </w:t>
      </w:r>
      <w:r w:rsidRPr="00B40419"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Лак</w:t>
      </w:r>
      <w:r w:rsidRPr="00B40419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АС-528 </w:t>
      </w:r>
    </w:p>
    <w:p w:rsidR="00B40419" w:rsidRPr="00B40419" w:rsidRDefault="00B40419" w:rsidP="00B40419">
      <w:pPr>
        <w:rPr>
          <w:b/>
        </w:rPr>
      </w:pPr>
      <w:r w:rsidRPr="00B40419">
        <w:rPr>
          <w:b/>
        </w:rPr>
        <w:t>Описание:</w:t>
      </w:r>
    </w:p>
    <w:p w:rsidR="00071211" w:rsidRDefault="00B40419" w:rsidP="00B40419">
      <w:r>
        <w:t xml:space="preserve">По своему составу Грунтовка АС-071 представляет собой суспензию двуокиси титана в акриловом лаке с добавлением пластификаторов, Эмаль АС-554 суспензию флуоресцентного пигмента в растворе акрилового сополимера с целевыми добавками, а Лак АС-528 по своему составу представляет собой раствор акрилового лака и ксилола с добавлением пластификатора и стабилизатора.  Материалы </w:t>
      </w:r>
      <w:proofErr w:type="spellStart"/>
      <w:r>
        <w:t>одноупаковочные</w:t>
      </w:r>
      <w:proofErr w:type="spellEnd"/>
      <w:r>
        <w:t>.</w:t>
      </w:r>
    </w:p>
    <w:p w:rsidR="00B40419" w:rsidRDefault="00B40419" w:rsidP="00B40419">
      <w:pPr>
        <w:rPr>
          <w:b/>
        </w:rPr>
      </w:pPr>
      <w:r w:rsidRPr="00B40419">
        <w:rPr>
          <w:b/>
        </w:rPr>
        <w:t>Рекомендуемое применение:</w:t>
      </w:r>
    </w:p>
    <w:tbl>
      <w:tblPr>
        <w:tblW w:w="10260" w:type="dxa"/>
        <w:tblInd w:w="-743" w:type="dxa"/>
        <w:tblLook w:val="01E0" w:firstRow="1" w:lastRow="1" w:firstColumn="1" w:lastColumn="1" w:noHBand="0" w:noVBand="0"/>
      </w:tblPr>
      <w:tblGrid>
        <w:gridCol w:w="567"/>
        <w:gridCol w:w="176"/>
        <w:gridCol w:w="2317"/>
        <w:gridCol w:w="1801"/>
        <w:gridCol w:w="2339"/>
        <w:gridCol w:w="1899"/>
        <w:gridCol w:w="513"/>
        <w:gridCol w:w="648"/>
      </w:tblGrid>
      <w:tr w:rsidR="00B40419" w:rsidRPr="004A30FE" w:rsidTr="00B40419">
        <w:trPr>
          <w:gridBefore w:val="2"/>
          <w:gridAfter w:val="1"/>
          <w:wBefore w:w="743" w:type="dxa"/>
          <w:wAfter w:w="648" w:type="dxa"/>
        </w:trPr>
        <w:tc>
          <w:tcPr>
            <w:tcW w:w="8869" w:type="dxa"/>
            <w:gridSpan w:val="5"/>
          </w:tcPr>
          <w:p w:rsidR="00B40419" w:rsidRPr="004A30FE" w:rsidRDefault="00B40419" w:rsidP="004B261D">
            <w:pPr>
              <w:pStyle w:val="Default"/>
              <w:tabs>
                <w:tab w:val="left" w:pos="6552"/>
                <w:tab w:val="left" w:pos="6732"/>
              </w:tabs>
              <w:ind w:right="7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40419" w:rsidRPr="004A30FE" w:rsidRDefault="00B40419" w:rsidP="004B261D">
            <w:pPr>
              <w:pStyle w:val="Default"/>
              <w:tabs>
                <w:tab w:val="left" w:pos="6552"/>
                <w:tab w:val="left" w:pos="6732"/>
              </w:tabs>
              <w:ind w:left="-36" w:right="7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40419" w:rsidRPr="004A30FE" w:rsidRDefault="00B40419" w:rsidP="004B261D">
            <w:pPr>
              <w:pStyle w:val="Default"/>
              <w:tabs>
                <w:tab w:val="left" w:pos="6552"/>
                <w:tab w:val="left" w:pos="6732"/>
              </w:tabs>
              <w:ind w:left="-36" w:right="7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30FE">
              <w:rPr>
                <w:rFonts w:ascii="Arial" w:hAnsi="Arial" w:cs="Arial"/>
                <w:color w:val="auto"/>
                <w:sz w:val="20"/>
                <w:szCs w:val="20"/>
              </w:rPr>
              <w:t>Грунтовка  АС-071 предназначена  в качестве подслоя под дневную флуоресцентную эмаль АС-554, обладает высокой адгезией.</w:t>
            </w:r>
          </w:p>
          <w:p w:rsidR="00B40419" w:rsidRPr="004A30FE" w:rsidRDefault="00B40419" w:rsidP="004B261D">
            <w:pPr>
              <w:pStyle w:val="Default"/>
              <w:tabs>
                <w:tab w:val="left" w:pos="6552"/>
                <w:tab w:val="left" w:pos="6732"/>
              </w:tabs>
              <w:ind w:left="-36" w:right="7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40419" w:rsidRPr="004A30FE" w:rsidRDefault="00B40419" w:rsidP="004B261D">
            <w:pPr>
              <w:pStyle w:val="Default"/>
              <w:tabs>
                <w:tab w:val="left" w:pos="6552"/>
                <w:tab w:val="left" w:pos="6732"/>
              </w:tabs>
              <w:spacing w:line="276" w:lineRule="auto"/>
              <w:ind w:left="-34" w:right="7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F2828">
              <w:rPr>
                <w:rFonts w:ascii="Arial" w:hAnsi="Arial" w:cs="Arial"/>
                <w:color w:val="auto"/>
                <w:sz w:val="20"/>
                <w:szCs w:val="20"/>
              </w:rPr>
              <w:t>Эмаль АС-554 активно используется на современных производствах для создания яркого цвета различных предметов путем нанесения на их поверхность цветного пигмента. С помощью неё оформляются части самолётов, судов и машин, дорожные знаки,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буйки, сигнальные столбики</w:t>
            </w:r>
            <w:r w:rsidRPr="006F2828">
              <w:rPr>
                <w:rFonts w:ascii="Arial" w:hAnsi="Arial" w:cs="Arial"/>
                <w:color w:val="auto"/>
                <w:sz w:val="20"/>
                <w:szCs w:val="20"/>
              </w:rPr>
              <w:t xml:space="preserve"> специальные спасательные средства и т. п. Окрашенные предметы хорошо заметны как в дневном, так и в ультрафиолетовом свете.</w:t>
            </w:r>
          </w:p>
          <w:p w:rsidR="00B40419" w:rsidRPr="004A30FE" w:rsidRDefault="00B40419" w:rsidP="004B261D">
            <w:pPr>
              <w:pStyle w:val="Default"/>
              <w:tabs>
                <w:tab w:val="left" w:pos="6552"/>
                <w:tab w:val="left" w:pos="6732"/>
              </w:tabs>
              <w:spacing w:line="276" w:lineRule="auto"/>
              <w:ind w:left="-34" w:right="7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40419" w:rsidRPr="004A30FE" w:rsidRDefault="00B40419" w:rsidP="00B40419">
            <w:pPr>
              <w:pStyle w:val="Default"/>
              <w:tabs>
                <w:tab w:val="left" w:pos="6552"/>
                <w:tab w:val="left" w:pos="6732"/>
              </w:tabs>
              <w:spacing w:line="276" w:lineRule="auto"/>
              <w:ind w:right="7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30FE">
              <w:rPr>
                <w:rFonts w:ascii="Arial" w:hAnsi="Arial" w:cs="Arial"/>
                <w:color w:val="auto"/>
                <w:sz w:val="20"/>
                <w:szCs w:val="20"/>
              </w:rPr>
              <w:t>Лак  АС-528 предназначен для защиты от атмосферных и иных воздействий пленки эмали АС-554.</w:t>
            </w:r>
          </w:p>
          <w:p w:rsidR="00B40419" w:rsidRPr="004A30FE" w:rsidRDefault="00B40419" w:rsidP="004B261D">
            <w:pPr>
              <w:pStyle w:val="Default"/>
              <w:tabs>
                <w:tab w:val="left" w:pos="6552"/>
                <w:tab w:val="left" w:pos="6732"/>
              </w:tabs>
              <w:spacing w:line="276" w:lineRule="auto"/>
              <w:ind w:left="-34" w:right="7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B40419" w:rsidRPr="004A30FE" w:rsidRDefault="00B40419" w:rsidP="004B261D">
            <w:pPr>
              <w:pStyle w:val="Default"/>
              <w:tabs>
                <w:tab w:val="left" w:pos="6552"/>
                <w:tab w:val="left" w:pos="6732"/>
              </w:tabs>
              <w:spacing w:line="276" w:lineRule="auto"/>
              <w:ind w:left="-36" w:right="7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30FE">
              <w:rPr>
                <w:rFonts w:ascii="Arial" w:hAnsi="Arial" w:cs="Arial"/>
                <w:color w:val="auto"/>
                <w:sz w:val="20"/>
                <w:szCs w:val="20"/>
              </w:rPr>
              <w:t>Система покрытия, состоящая из грунтовки АС-071, эмали АС-554 и лака АС-528 в условиях умеренного климата сохраняет декоративно-защитные свойства в течение 3-х лет.</w:t>
            </w:r>
          </w:p>
          <w:p w:rsidR="00B40419" w:rsidRPr="004A30FE" w:rsidRDefault="00B40419" w:rsidP="004B261D">
            <w:pPr>
              <w:pStyle w:val="Default"/>
              <w:tabs>
                <w:tab w:val="left" w:pos="6552"/>
                <w:tab w:val="left" w:pos="6732"/>
              </w:tabs>
              <w:ind w:right="7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40419" w:rsidRPr="00B40419" w:rsidTr="00B40419">
        <w:trPr>
          <w:gridAfter w:val="3"/>
          <w:wAfter w:w="3060" w:type="dxa"/>
        </w:trPr>
        <w:tc>
          <w:tcPr>
            <w:tcW w:w="7200" w:type="dxa"/>
            <w:gridSpan w:val="5"/>
          </w:tcPr>
          <w:p w:rsidR="00F117FD" w:rsidRDefault="00F117FD" w:rsidP="004B261D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117FD" w:rsidRDefault="00F117FD" w:rsidP="004B261D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40419" w:rsidRPr="00B40419" w:rsidRDefault="00F117FD" w:rsidP="004B261D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</w:t>
            </w:r>
            <w:r w:rsidR="00B4041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B40419" w:rsidRPr="00B40419">
              <w:rPr>
                <w:rFonts w:ascii="Arial" w:hAnsi="Arial" w:cs="Arial"/>
                <w:b/>
                <w:i/>
                <w:sz w:val="20"/>
                <w:szCs w:val="20"/>
              </w:rPr>
              <w:t>ФИЗИЧЕСКИЕ ХАРАКТЕРИСТИКИ: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  <w:tcBorders>
              <w:bottom w:val="double" w:sz="6" w:space="0" w:color="auto"/>
            </w:tcBorders>
          </w:tcPr>
          <w:p w:rsidR="00B40419" w:rsidRPr="00B40419" w:rsidRDefault="00B40419" w:rsidP="00B40419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</w:pPr>
            <w:r w:rsidRPr="00B4041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38" w:type="dxa"/>
            <w:gridSpan w:val="2"/>
            <w:tcBorders>
              <w:bottom w:val="double" w:sz="6" w:space="0" w:color="auto"/>
            </w:tcBorders>
          </w:tcPr>
          <w:p w:rsidR="00B40419" w:rsidRPr="00B40419" w:rsidRDefault="00B40419" w:rsidP="00B40419">
            <w:pPr>
              <w:keepNext/>
              <w:spacing w:before="240" w:after="60"/>
              <w:outlineLvl w:val="3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B40419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>Значение по   ТУ 6-27-244-2001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  <w:tcBorders>
              <w:top w:val="nil"/>
            </w:tcBorders>
          </w:tcPr>
          <w:p w:rsidR="00B40419" w:rsidRPr="00B40419" w:rsidRDefault="00B40419" w:rsidP="00B40419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1 Цвет покрытия</w:t>
            </w:r>
          </w:p>
        </w:tc>
        <w:tc>
          <w:tcPr>
            <w:tcW w:w="4238" w:type="dxa"/>
            <w:gridSpan w:val="2"/>
            <w:tcBorders>
              <w:top w:val="nil"/>
            </w:tcBorders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белого, голубого, зеленого, лимонно-желтого, оранжево-желтого, оранжево-красного цветов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keepNext/>
              <w:spacing w:before="240" w:after="60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2 Внешний вид покрытия</w:t>
            </w:r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После высыхания покрытие эмали должно быть ровным, однородным без посторонних включений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3Условная вязкость по вискозиметру </w:t>
            </w:r>
          </w:p>
          <w:p w:rsidR="00B40419" w:rsidRPr="00B40419" w:rsidRDefault="00B40419" w:rsidP="00B40419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ВЗ-246 с диаметром сопла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B40419">
                <w:rPr>
                  <w:rFonts w:ascii="Times New Roman" w:eastAsiaTheme="majorEastAsia" w:hAnsi="Times New Roman" w:cs="Times New Roman"/>
                  <w:bCs/>
                  <w:sz w:val="20"/>
                  <w:szCs w:val="20"/>
                </w:rPr>
                <w:t>4 мм</w:t>
              </w:r>
            </w:smartTag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 при температуре (20,0±0,5) °</w:t>
            </w:r>
            <w:proofErr w:type="gramStart"/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, с:</w:t>
            </w:r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30-70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4 Массовая доля нелетучих веществ, %</w:t>
            </w:r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33±2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5 Время высыхания до степени 3 при температуре (20±2) °С, </w:t>
            </w:r>
            <w:proofErr w:type="gramStart"/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24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keepNext/>
              <w:spacing w:before="240" w:after="60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 xml:space="preserve">6.Эластичность пленки при изгибе, </w:t>
            </w:r>
            <w:proofErr w:type="gramStart"/>
            <w:r w:rsidRPr="00B40419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Стойкость покрытия к статическому воздействию воды при температуре (20±2) °С, </w:t>
            </w:r>
            <w:proofErr w:type="gramStart"/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4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8 Стойкость покрытия к воздействию бензина при температуре (20±2) °</w:t>
            </w:r>
            <w:proofErr w:type="gramStart"/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Покрытие должно быть </w:t>
            </w:r>
          </w:p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без изменений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9 Степень флуоресценции, %</w:t>
            </w:r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30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Стабильность флуоресценции при облучении, % </w:t>
            </w:r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не менее 92,0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Грязеудержание</w:t>
            </w:r>
            <w:proofErr w:type="spellEnd"/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не нормируется</w:t>
            </w:r>
          </w:p>
        </w:tc>
      </w:tr>
      <w:tr w:rsidR="00B40419" w:rsidRPr="00B40419" w:rsidTr="00B404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567" w:type="dxa"/>
          <w:wAfter w:w="1161" w:type="dxa"/>
        </w:trPr>
        <w:tc>
          <w:tcPr>
            <w:tcW w:w="4294" w:type="dxa"/>
            <w:gridSpan w:val="3"/>
          </w:tcPr>
          <w:p w:rsidR="00B40419" w:rsidRPr="00B40419" w:rsidRDefault="00B40419" w:rsidP="00B404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12 Температура вспышки в закрытом тигле, °</w:t>
            </w:r>
            <w:proofErr w:type="gramStart"/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4238" w:type="dxa"/>
            <w:gridSpan w:val="2"/>
          </w:tcPr>
          <w:p w:rsidR="00B40419" w:rsidRPr="00B40419" w:rsidRDefault="00B40419" w:rsidP="00B40419">
            <w:pPr>
              <w:ind w:right="-16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40419" w:rsidRPr="00B40419" w:rsidRDefault="00B40419" w:rsidP="00B40419">
            <w:pPr>
              <w:ind w:right="-1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0419">
              <w:rPr>
                <w:rFonts w:ascii="Times New Roman" w:eastAsia="Calibri" w:hAnsi="Times New Roman" w:cs="Times New Roman"/>
                <w:sz w:val="20"/>
                <w:szCs w:val="20"/>
              </w:rPr>
              <w:t>23-61</w:t>
            </w:r>
          </w:p>
        </w:tc>
      </w:tr>
      <w:tr w:rsidR="00B40419" w:rsidRPr="004A30FE" w:rsidTr="00B40419">
        <w:trPr>
          <w:trHeight w:val="1519"/>
        </w:trPr>
        <w:tc>
          <w:tcPr>
            <w:tcW w:w="3060" w:type="dxa"/>
            <w:gridSpan w:val="3"/>
          </w:tcPr>
          <w:p w:rsidR="00B40419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0419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4933">
              <w:rPr>
                <w:rFonts w:ascii="Arial" w:hAnsi="Arial" w:cs="Arial"/>
                <w:b/>
                <w:bCs/>
                <w:sz w:val="20"/>
                <w:szCs w:val="20"/>
              </w:rPr>
              <w:t>Полное высыхание</w:t>
            </w:r>
          </w:p>
          <w:p w:rsidR="00B40419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0419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0419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0FE">
              <w:rPr>
                <w:rFonts w:ascii="Arial" w:hAnsi="Arial" w:cs="Arial"/>
                <w:b/>
                <w:bCs/>
                <w:sz w:val="20"/>
                <w:szCs w:val="20"/>
              </w:rPr>
              <w:t>НАНЕСЕНИЕ:</w:t>
            </w: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Подготовка материалов:</w:t>
            </w: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0" w:type="dxa"/>
            <w:gridSpan w:val="5"/>
          </w:tcPr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0419" w:rsidRDefault="00B40419" w:rsidP="004B261D">
            <w:pPr>
              <w:pStyle w:val="Default"/>
              <w:ind w:right="746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824933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Окончательная выдержка окрашенного изделия до эксплуатации не менее суток.</w:t>
            </w:r>
          </w:p>
          <w:p w:rsidR="00B40419" w:rsidRDefault="00B40419" w:rsidP="004B261D">
            <w:pPr>
              <w:pStyle w:val="Default"/>
              <w:ind w:right="746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en-US"/>
              </w:rPr>
            </w:pPr>
          </w:p>
          <w:p w:rsidR="00B40419" w:rsidRPr="004A30FE" w:rsidRDefault="00B40419" w:rsidP="004B261D">
            <w:pPr>
              <w:pStyle w:val="Default"/>
              <w:ind w:right="746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en-US"/>
              </w:rPr>
            </w:pPr>
          </w:p>
          <w:p w:rsidR="00B40419" w:rsidRPr="004A30FE" w:rsidRDefault="00B40419" w:rsidP="004B261D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Перед применением необходимо убедиться, что материалы хорошо перемешаны и однородны по всему объему тарного места. При необходимости грунтовка, эмаль и лак перед нанесением разбавляются до рабочей вязкости Р-4, ксилолом или сольвентом.</w:t>
            </w:r>
          </w:p>
        </w:tc>
      </w:tr>
      <w:tr w:rsidR="00B40419" w:rsidRPr="004A30FE" w:rsidTr="00B40419">
        <w:tc>
          <w:tcPr>
            <w:tcW w:w="3060" w:type="dxa"/>
            <w:gridSpan w:val="3"/>
          </w:tcPr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Подготовка поверхности:</w:t>
            </w: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Способ нанесения:</w:t>
            </w: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Условия нанесения:</w:t>
            </w: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Теоретический расход на один слой:</w:t>
            </w: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Рекомендуемое количество</w:t>
            </w: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слоев:</w:t>
            </w:r>
          </w:p>
          <w:p w:rsidR="00B40419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 xml:space="preserve">Рекомендуемая толщина </w:t>
            </w: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одного слоя:</w:t>
            </w: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Разбавитель:</w:t>
            </w: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Очистка инструментов:</w:t>
            </w:r>
          </w:p>
        </w:tc>
        <w:tc>
          <w:tcPr>
            <w:tcW w:w="7200" w:type="dxa"/>
            <w:gridSpan w:val="5"/>
          </w:tcPr>
          <w:p w:rsidR="00B40419" w:rsidRPr="004A30FE" w:rsidRDefault="00B40419" w:rsidP="004B261D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Эмаль АС-554 должна наносится на сухую и чистую поверхность. Предварительно её необходимо очистить от грязи и пыли, а также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обезжирить. Не допускается нанесение на ржавчину, её следует удалить шлифовальной шкуркой.</w:t>
            </w:r>
          </w:p>
          <w:p w:rsidR="00B40419" w:rsidRPr="004A30FE" w:rsidRDefault="00B40419" w:rsidP="004B261D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 xml:space="preserve">Подготовленную грунтовку наносят на предварительно очищенные как минимум до </w:t>
            </w:r>
            <w:r w:rsidRPr="004A30FE">
              <w:rPr>
                <w:rFonts w:ascii="Arial" w:hAnsi="Arial" w:cs="Arial"/>
                <w:sz w:val="20"/>
                <w:szCs w:val="20"/>
                <w:lang w:val="en-US"/>
              </w:rPr>
              <w:t>St</w:t>
            </w:r>
            <w:r w:rsidRPr="004A30FE">
              <w:rPr>
                <w:rFonts w:ascii="Arial" w:hAnsi="Arial" w:cs="Arial"/>
                <w:sz w:val="20"/>
                <w:szCs w:val="20"/>
              </w:rPr>
              <w:t xml:space="preserve">2 по </w:t>
            </w:r>
            <w:r w:rsidRPr="004A30F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МСИСО 8501 </w:t>
            </w:r>
            <w:r w:rsidRPr="004A30FE">
              <w:rPr>
                <w:rFonts w:ascii="Arial" w:hAnsi="Arial" w:cs="Arial"/>
                <w:sz w:val="20"/>
                <w:szCs w:val="20"/>
              </w:rPr>
              <w:t xml:space="preserve">и обезжиренные поверхности металла. </w:t>
            </w:r>
          </w:p>
          <w:p w:rsidR="00B40419" w:rsidRPr="004A30FE" w:rsidRDefault="00B40419" w:rsidP="004B261D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Эмаль АС-554 наносят на предварительно загрунтованную грунтовкой АС-071 поверхность, либо на поверхность загрунтованную АК-070, ВЛ-02, ВЛ-023</w:t>
            </w:r>
          </w:p>
          <w:p w:rsidR="00B40419" w:rsidRPr="004A30FE" w:rsidRDefault="00B40419" w:rsidP="004B261D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Безвоздушное или пневматическое распыление, кисть</w:t>
            </w:r>
          </w:p>
          <w:p w:rsidR="00B40419" w:rsidRPr="004A30FE" w:rsidRDefault="00B40419" w:rsidP="004B261D">
            <w:pPr>
              <w:spacing w:after="0" w:line="240" w:lineRule="auto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Окрасочные работы производятся при температуре окружающего воздуха от +5</w:t>
            </w:r>
            <w:proofErr w:type="gramStart"/>
            <w:r w:rsidRPr="004A30FE">
              <w:rPr>
                <w:rFonts w:ascii="Arial" w:hAnsi="Arial" w:cs="Arial"/>
                <w:sz w:val="20"/>
                <w:szCs w:val="20"/>
              </w:rPr>
              <w:t>°С</w:t>
            </w:r>
            <w:proofErr w:type="gramEnd"/>
            <w:r w:rsidRPr="004A30FE">
              <w:rPr>
                <w:rFonts w:ascii="Arial" w:hAnsi="Arial" w:cs="Arial"/>
                <w:sz w:val="20"/>
                <w:szCs w:val="20"/>
              </w:rPr>
              <w:t xml:space="preserve"> до +30°С и относительной влажности воздуха не выше 80%.</w:t>
            </w: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419" w:rsidRPr="00B40419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Грунтовка:  100 - 120 г/м²</w:t>
            </w: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Эмаль:        120 - 150 г/м²</w:t>
            </w: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Лак:              80 - 100 г/м²</w:t>
            </w: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419" w:rsidRPr="00B40419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20-35 мкм</w:t>
            </w: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Грунтовка:  2</w:t>
            </w: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 xml:space="preserve">Эмаль:        3   </w:t>
            </w: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 xml:space="preserve">Лак:             2       </w:t>
            </w: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Растворитель Р-4, ксилол, сольвент</w:t>
            </w: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A30FE">
              <w:rPr>
                <w:rFonts w:ascii="Arial" w:hAnsi="Arial" w:cs="Arial"/>
                <w:sz w:val="20"/>
                <w:szCs w:val="20"/>
              </w:rPr>
              <w:t>Растворитель Р-4, ксилол, сольвент</w:t>
            </w:r>
          </w:p>
        </w:tc>
      </w:tr>
      <w:tr w:rsidR="00B40419" w:rsidRPr="004A30FE" w:rsidTr="00B40419">
        <w:trPr>
          <w:trHeight w:val="1765"/>
        </w:trPr>
        <w:tc>
          <w:tcPr>
            <w:tcW w:w="3060" w:type="dxa"/>
            <w:gridSpan w:val="3"/>
          </w:tcPr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0FE">
              <w:rPr>
                <w:rFonts w:ascii="Arial" w:hAnsi="Arial" w:cs="Arial"/>
                <w:b/>
                <w:bCs/>
                <w:sz w:val="20"/>
                <w:szCs w:val="20"/>
              </w:rPr>
              <w:t>МЕРЫ ПРЕДОСТОРОЖНОСТИ:</w:t>
            </w:r>
          </w:p>
        </w:tc>
        <w:tc>
          <w:tcPr>
            <w:tcW w:w="7200" w:type="dxa"/>
            <w:gridSpan w:val="5"/>
          </w:tcPr>
          <w:p w:rsidR="00B40419" w:rsidRPr="004A30FE" w:rsidRDefault="00B40419" w:rsidP="004B261D">
            <w:pPr>
              <w:pStyle w:val="Default"/>
              <w:ind w:right="5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:rsidR="00B40419" w:rsidRPr="004A30FE" w:rsidRDefault="00B40419" w:rsidP="004B261D">
            <w:pPr>
              <w:pStyle w:val="Default"/>
              <w:ind w:right="5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:rsidR="00B40419" w:rsidRPr="004A30FE" w:rsidRDefault="00B40419" w:rsidP="004B261D">
            <w:pPr>
              <w:pStyle w:val="Default"/>
              <w:ind w:right="5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4A30F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Материалы огнеопасны! Не работать вблизи открытых источников огня. Работы производить при хорошей вентиляции с использованием индивидуальных средств защиты. Не допускать попадания в органы дыхания и пищеварения. При попадании материалов на кожу промыть ее теплой водой с мылом. </w:t>
            </w:r>
          </w:p>
        </w:tc>
      </w:tr>
      <w:tr w:rsidR="00B40419" w:rsidRPr="004A30FE" w:rsidTr="00B40419">
        <w:trPr>
          <w:trHeight w:val="1815"/>
        </w:trPr>
        <w:tc>
          <w:tcPr>
            <w:tcW w:w="3060" w:type="dxa"/>
            <w:gridSpan w:val="3"/>
          </w:tcPr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0FE">
              <w:rPr>
                <w:rFonts w:ascii="Arial" w:hAnsi="Arial" w:cs="Arial"/>
                <w:b/>
                <w:bCs/>
                <w:sz w:val="20"/>
                <w:szCs w:val="20"/>
              </w:rPr>
              <w:t>ТРАНСПОРТИРОВАНИЕ И ХРАНЕНИЕ:</w:t>
            </w:r>
          </w:p>
        </w:tc>
        <w:tc>
          <w:tcPr>
            <w:tcW w:w="7200" w:type="dxa"/>
            <w:gridSpan w:val="5"/>
          </w:tcPr>
          <w:p w:rsidR="00B40419" w:rsidRPr="004A30FE" w:rsidRDefault="00B40419" w:rsidP="004B261D">
            <w:pPr>
              <w:pStyle w:val="Default"/>
              <w:ind w:right="56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:rsidR="00B40419" w:rsidRPr="004A30FE" w:rsidRDefault="00B40419" w:rsidP="004B261D">
            <w:pPr>
              <w:pStyle w:val="Default"/>
              <w:ind w:right="56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4A30F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Грунтовку, эмаль и лак транспортируют всеми видами транспорта при температуре от -35</w:t>
            </w:r>
            <w:proofErr w:type="gramStart"/>
            <w:r w:rsidRPr="004A30F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°С</w:t>
            </w:r>
            <w:proofErr w:type="gramEnd"/>
            <w:r w:rsidRPr="004A30F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до +35°С при условиях, обеспечивающих целостность тары и защиту от атмосферных осадков. В упакованном виде материалы должны храниться в закрытых, неотапливаемых  помещениях при температуре от -30</w:t>
            </w:r>
            <w:proofErr w:type="gramStart"/>
            <w:r w:rsidRPr="004A30F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°С</w:t>
            </w:r>
            <w:proofErr w:type="gramEnd"/>
            <w:r w:rsidRPr="004A30F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до +30°С, исключив попадание на них прямых солнечных лучей и влаги. </w:t>
            </w:r>
          </w:p>
        </w:tc>
      </w:tr>
      <w:tr w:rsidR="00B40419" w:rsidRPr="004A30FE" w:rsidTr="00B40419">
        <w:tc>
          <w:tcPr>
            <w:tcW w:w="3060" w:type="dxa"/>
            <w:gridSpan w:val="3"/>
          </w:tcPr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40419" w:rsidRPr="004A30FE" w:rsidRDefault="00B40419" w:rsidP="004B261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30FE">
              <w:rPr>
                <w:rFonts w:ascii="Arial" w:hAnsi="Arial" w:cs="Arial"/>
                <w:b/>
                <w:bCs/>
                <w:sz w:val="20"/>
                <w:szCs w:val="20"/>
              </w:rPr>
              <w:t>ГАРАНТИИ ИЗГОТОВИТЕЛЯ:</w:t>
            </w:r>
          </w:p>
        </w:tc>
        <w:tc>
          <w:tcPr>
            <w:tcW w:w="7200" w:type="dxa"/>
            <w:gridSpan w:val="5"/>
          </w:tcPr>
          <w:p w:rsidR="00B40419" w:rsidRPr="004A30FE" w:rsidRDefault="00B40419" w:rsidP="004B261D">
            <w:pPr>
              <w:pStyle w:val="Default"/>
              <w:ind w:right="56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:rsidR="00B40419" w:rsidRPr="004A30FE" w:rsidRDefault="00B40419" w:rsidP="004B261D">
            <w:pPr>
              <w:pStyle w:val="Default"/>
              <w:ind w:right="56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4A30F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Гарантийный срок хранения эмали – 6 месяцев со дня изготовления. </w:t>
            </w:r>
          </w:p>
          <w:p w:rsidR="00B40419" w:rsidRPr="004A30FE" w:rsidRDefault="00B40419" w:rsidP="004B261D">
            <w:pPr>
              <w:pStyle w:val="Default"/>
              <w:ind w:right="56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  <w:p w:rsidR="00B40419" w:rsidRPr="004A30FE" w:rsidRDefault="00B40419" w:rsidP="004B261D">
            <w:pPr>
              <w:pStyle w:val="Default"/>
              <w:ind w:right="566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4A30F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По истечении гарантийного срока, материалы перед применением подлежат проверке на соответствие требованиям </w:t>
            </w:r>
            <w:r w:rsidRPr="006F2828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>ТУ 6-27-244-2001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4A30F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и при установлении соответствия могут быть использованы потребителем по назначению.</w:t>
            </w:r>
          </w:p>
        </w:tc>
      </w:tr>
    </w:tbl>
    <w:p w:rsidR="00B40419" w:rsidRPr="00B40419" w:rsidRDefault="00B40419" w:rsidP="00B40419">
      <w:pPr>
        <w:ind w:left="-426"/>
        <w:rPr>
          <w:b/>
        </w:rPr>
      </w:pPr>
    </w:p>
    <w:sectPr w:rsidR="00B40419" w:rsidRPr="00B4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19"/>
    <w:rsid w:val="00071211"/>
    <w:rsid w:val="00B40419"/>
    <w:rsid w:val="00F1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4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B4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2016-11-01T07:57:00Z</dcterms:created>
  <dcterms:modified xsi:type="dcterms:W3CDTF">2017-01-19T08:32:00Z</dcterms:modified>
</cp:coreProperties>
</file>